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7A5" w:rsidRDefault="00ED07A5" w:rsidP="00ED07A5">
      <w:p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D07A5" w:rsidRPr="00F71C15" w:rsidRDefault="00ED07A5" w:rsidP="00ED07A5">
      <w:p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F71C15">
        <w:rPr>
          <w:sz w:val="28"/>
          <w:szCs w:val="20"/>
        </w:rPr>
        <w:t>SZCZEGÓŁOWA SPECYFIKACJA TECHNICZNA</w:t>
      </w:r>
    </w:p>
    <w:p w:rsidR="00ED07A5" w:rsidRPr="00F71C15" w:rsidRDefault="00ED07A5" w:rsidP="00ED07A5">
      <w:pPr>
        <w:overflowPunct w:val="0"/>
        <w:autoSpaceDE w:val="0"/>
        <w:autoSpaceDN w:val="0"/>
        <w:adjustRightInd w:val="0"/>
        <w:rPr>
          <w:sz w:val="28"/>
          <w:szCs w:val="20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Pr="006C25E2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  <w:r>
        <w:rPr>
          <w:rFonts w:ascii="Times New Roman" w:eastAsia="Times New Roman" w:hAnsi="Times New Roman"/>
          <w:b/>
          <w:sz w:val="28"/>
          <w:szCs w:val="20"/>
          <w:lang w:eastAsia="pl-PL"/>
        </w:rPr>
        <w:t>D - 10.01.05</w:t>
      </w:r>
    </w:p>
    <w:p w:rsidR="00ED07A5" w:rsidRPr="006C25E2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0"/>
          <w:lang w:eastAsia="pl-PL"/>
        </w:rPr>
      </w:pPr>
      <w:r w:rsidRPr="006C25E2">
        <w:rPr>
          <w:rFonts w:ascii="Times New Roman" w:eastAsia="Times New Roman" w:hAnsi="Times New Roman"/>
          <w:b/>
          <w:sz w:val="27"/>
          <w:szCs w:val="20"/>
          <w:lang w:eastAsia="pl-PL"/>
        </w:rPr>
        <w:t> </w:t>
      </w: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  <w:r>
        <w:rPr>
          <w:rFonts w:ascii="Times New Roman" w:eastAsia="Times New Roman" w:hAnsi="Times New Roman"/>
          <w:b/>
          <w:sz w:val="28"/>
          <w:szCs w:val="20"/>
          <w:lang w:eastAsia="pl-PL"/>
        </w:rPr>
        <w:t>Regulacja wysokościowa urządzeń uzbrojenia podziemnego</w:t>
      </w: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C69B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:rsidR="00ED07A5" w:rsidRDefault="00ED07A5" w:rsidP="00ED07A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1. Wstęp</w:t>
      </w:r>
    </w:p>
    <w:p w:rsidR="00ED07A5" w:rsidRPr="00EC69BC" w:rsidRDefault="00ED07A5" w:rsidP="00ED07A5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Theme="minorHAnsi" w:eastAsia="Times New Roman" w:hAnsiTheme="minorHAnsi"/>
          <w:b/>
          <w:lang w:eastAsia="pl-PL"/>
        </w:rPr>
      </w:pPr>
      <w:r w:rsidRPr="00EC69BC">
        <w:rPr>
          <w:rFonts w:asciiTheme="minorHAnsi" w:eastAsia="Times New Roman" w:hAnsiTheme="minorHAnsi"/>
          <w:b/>
          <w:lang w:eastAsia="pl-PL"/>
        </w:rPr>
        <w:t>1.1. Przedmiot SST</w:t>
      </w:r>
    </w:p>
    <w:p w:rsidR="00EC69BC" w:rsidRPr="00EC69BC" w:rsidRDefault="00ED07A5" w:rsidP="00EC69BC">
      <w:pPr>
        <w:jc w:val="both"/>
        <w:rPr>
          <w:rFonts w:asciiTheme="minorHAnsi" w:eastAsia="Times New Roman" w:hAnsiTheme="minorHAnsi"/>
          <w:b/>
          <w:lang w:eastAsia="pl-PL"/>
        </w:rPr>
      </w:pPr>
      <w:r w:rsidRPr="00EC69BC">
        <w:rPr>
          <w:rFonts w:asciiTheme="minorHAnsi" w:eastAsia="Times New Roman" w:hAnsiTheme="minorHAnsi"/>
          <w:lang w:eastAsia="pl-PL"/>
        </w:rPr>
        <w:tab/>
      </w:r>
      <w:r w:rsidR="00EC69BC" w:rsidRPr="00EC69BC">
        <w:rPr>
          <w:rFonts w:asciiTheme="minorHAnsi" w:hAnsiTheme="minorHAnsi"/>
        </w:rPr>
        <w:t xml:space="preserve">Przedmiotem niniejszej szczegółowej specyfikacji technicznej (SST) są wymagania szczegółowe dotyczące wykonania i odbioru robót: </w:t>
      </w:r>
      <w:r w:rsidR="00EC69BC" w:rsidRPr="00EC69BC">
        <w:rPr>
          <w:rFonts w:asciiTheme="minorHAnsi" w:hAnsiTheme="minorHAnsi"/>
          <w:b/>
        </w:rPr>
        <w:t>„</w:t>
      </w:r>
      <w:r w:rsidR="00EC69BC" w:rsidRPr="00EC69BC">
        <w:rPr>
          <w:rFonts w:asciiTheme="minorHAnsi" w:hAnsiTheme="minorHAnsi"/>
          <w:i/>
        </w:rPr>
        <w:t xml:space="preserve">Przebudowa ul. Powstańców Warszawy </w:t>
      </w:r>
      <w:r w:rsidR="00EC69BC">
        <w:rPr>
          <w:rFonts w:asciiTheme="minorHAnsi" w:hAnsiTheme="minorHAnsi"/>
          <w:i/>
        </w:rPr>
        <w:br/>
      </w:r>
      <w:r w:rsidR="00EC69BC" w:rsidRPr="00EC69BC">
        <w:rPr>
          <w:rFonts w:asciiTheme="minorHAnsi" w:hAnsiTheme="minorHAnsi"/>
          <w:i/>
        </w:rPr>
        <w:t>w Skarżysku – Kamiennej na odcinku od ul. Armii Krajowej do ul. Kochanowskiego</w:t>
      </w:r>
      <w:r w:rsidR="00EC69BC" w:rsidRPr="00EC69BC">
        <w:rPr>
          <w:rFonts w:asciiTheme="minorHAnsi" w:hAnsiTheme="minorHAnsi"/>
          <w:b/>
          <w:i/>
        </w:rPr>
        <w:t>”</w:t>
      </w:r>
      <w:r w:rsidR="00EC69BC" w:rsidRPr="00EC69BC">
        <w:rPr>
          <w:rFonts w:asciiTheme="minorHAnsi" w:hAnsiTheme="minorHAnsi"/>
          <w:i/>
        </w:rPr>
        <w:t>.</w:t>
      </w:r>
    </w:p>
    <w:p w:rsidR="00ED07A5" w:rsidRPr="00EC69BC" w:rsidRDefault="00ED07A5" w:rsidP="00EC69BC">
      <w:pPr>
        <w:jc w:val="both"/>
        <w:rPr>
          <w:rFonts w:asciiTheme="minorHAnsi" w:eastAsia="Times New Roman" w:hAnsiTheme="minorHAnsi"/>
          <w:b/>
          <w:lang w:eastAsia="pl-PL"/>
        </w:rPr>
      </w:pPr>
      <w:r w:rsidRPr="00EC69BC">
        <w:rPr>
          <w:rFonts w:asciiTheme="minorHAnsi" w:eastAsia="Times New Roman" w:hAnsiTheme="minorHAnsi"/>
          <w:b/>
          <w:lang w:eastAsia="pl-PL"/>
        </w:rPr>
        <w:t>1.2. Zakres stosowania SST</w:t>
      </w:r>
    </w:p>
    <w:p w:rsidR="00ED07A5" w:rsidRPr="00EC69BC" w:rsidRDefault="00ED07A5" w:rsidP="00ED07A5">
      <w:pPr>
        <w:pStyle w:val="Mine1"/>
        <w:rPr>
          <w:rFonts w:asciiTheme="minorHAnsi" w:hAnsiTheme="minorHAnsi"/>
          <w:sz w:val="22"/>
          <w:szCs w:val="22"/>
        </w:rPr>
      </w:pPr>
      <w:r w:rsidRPr="00CA7AF4">
        <w:tab/>
      </w:r>
      <w:r w:rsidRPr="00EC69BC">
        <w:rPr>
          <w:rFonts w:asciiTheme="minorHAnsi" w:hAnsiTheme="minorHAnsi"/>
          <w:sz w:val="22"/>
          <w:szCs w:val="22"/>
        </w:rPr>
        <w:t xml:space="preserve">Szczegółowa Specyfikacja Techniczna jest stosowana jako dokument przetargowy </w:t>
      </w:r>
      <w:r w:rsidR="00EC69BC">
        <w:rPr>
          <w:rFonts w:asciiTheme="minorHAnsi" w:hAnsiTheme="minorHAnsi"/>
          <w:sz w:val="22"/>
          <w:szCs w:val="22"/>
        </w:rPr>
        <w:br/>
      </w:r>
      <w:r w:rsidRPr="00EC69BC">
        <w:rPr>
          <w:rFonts w:asciiTheme="minorHAnsi" w:hAnsiTheme="minorHAnsi"/>
          <w:sz w:val="22"/>
          <w:szCs w:val="22"/>
        </w:rPr>
        <w:t xml:space="preserve">i kontraktowy przy zlecaniu i realizacji robót wymienionych w p.1.1. </w:t>
      </w:r>
    </w:p>
    <w:p w:rsidR="00ED07A5" w:rsidRDefault="00ED07A5" w:rsidP="00ED07A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1.3. Zakres Robót objętych SST</w:t>
      </w:r>
    </w:p>
    <w:p w:rsidR="00ED07A5" w:rsidRDefault="00ED07A5" w:rsidP="00ED07A5">
      <w:pPr>
        <w:autoSpaceDE w:val="0"/>
        <w:autoSpaceDN w:val="0"/>
        <w:adjustRightInd w:val="0"/>
      </w:pPr>
      <w:r>
        <w:t>Ustalenia zawarte w niniejszej ST dotyczą zasad prowadzenia robót związanych z regulacją wysokościową</w:t>
      </w:r>
    </w:p>
    <w:p w:rsidR="00ED07A5" w:rsidRDefault="00ED07A5" w:rsidP="00ED07A5">
      <w:pPr>
        <w:autoSpaceDE w:val="0"/>
        <w:autoSpaceDN w:val="0"/>
        <w:adjustRightInd w:val="0"/>
      </w:pPr>
      <w:r>
        <w:t>urządzeń uzbrojenia podziemnego .</w:t>
      </w:r>
    </w:p>
    <w:p w:rsidR="00ED07A5" w:rsidRDefault="00ED07A5" w:rsidP="00ED07A5">
      <w:pPr>
        <w:autoSpaceDE w:val="0"/>
        <w:autoSpaceDN w:val="0"/>
        <w:adjustRightInd w:val="0"/>
      </w:pPr>
      <w:r>
        <w:t>W zakres robót wchodzi wykonanie:</w:t>
      </w:r>
    </w:p>
    <w:p w:rsidR="00ED07A5" w:rsidRDefault="00ED07A5" w:rsidP="00ED07A5">
      <w:pPr>
        <w:autoSpaceDE w:val="0"/>
        <w:autoSpaceDN w:val="0"/>
        <w:adjustRightInd w:val="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rozbiórka (odkucie) nawierzchni wokół istniejących włazów urządzeń uzbrojenia podziemnego,</w:t>
      </w:r>
    </w:p>
    <w:p w:rsidR="00ED07A5" w:rsidRDefault="00ED07A5" w:rsidP="00ED07A5">
      <w:pPr>
        <w:autoSpaceDE w:val="0"/>
        <w:autoSpaceDN w:val="0"/>
        <w:adjustRightInd w:val="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regulacja pionowa włazów przy użyciu betonu, zaprawy cementowej.</w:t>
      </w:r>
    </w:p>
    <w:p w:rsidR="00ED07A5" w:rsidRDefault="00ED07A5" w:rsidP="00ED07A5">
      <w:pPr>
        <w:autoSpaceDE w:val="0"/>
        <w:autoSpaceDN w:val="0"/>
        <w:adjustRightInd w:val="0"/>
      </w:pPr>
      <w:r>
        <w:t>W zakres naprawy podmurówki ogrodzenia wchodzi uzupełnienie wyrw oraz naprawa spękań zaprawą</w:t>
      </w:r>
    </w:p>
    <w:p w:rsidR="00ED07A5" w:rsidRDefault="00ED07A5" w:rsidP="00ED07A5">
      <w:pPr>
        <w:autoSpaceDE w:val="0"/>
        <w:autoSpaceDN w:val="0"/>
        <w:adjustRightInd w:val="0"/>
      </w:pPr>
      <w:r>
        <w:t>cementową</w:t>
      </w:r>
    </w:p>
    <w:p w:rsidR="00ED07A5" w:rsidRDefault="00ED07A5" w:rsidP="00ED07A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1.4. Określenia podstawowe</w:t>
      </w:r>
    </w:p>
    <w:p w:rsidR="00ED07A5" w:rsidRDefault="00ED07A5" w:rsidP="00ED07A5">
      <w:pPr>
        <w:autoSpaceDE w:val="0"/>
        <w:autoSpaceDN w:val="0"/>
        <w:adjustRightInd w:val="0"/>
      </w:pPr>
      <w:r>
        <w:t xml:space="preserve">Określenia podane w niniejszej SST są zgodne z zamieszczonymi w </w:t>
      </w:r>
      <w:r w:rsidR="00EC69BC">
        <w:t>S</w:t>
      </w:r>
      <w:r>
        <w:t>ST D-M.00.00.00. "Wymagania ogólne" pkt.</w:t>
      </w:r>
    </w:p>
    <w:p w:rsidR="00ED07A5" w:rsidRDefault="00ED07A5" w:rsidP="00ED07A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1.5. Ogólne wymagania dotyczące Robót</w:t>
      </w:r>
    </w:p>
    <w:p w:rsidR="00ED07A5" w:rsidRDefault="00ED07A5" w:rsidP="00ED07A5">
      <w:pPr>
        <w:autoSpaceDE w:val="0"/>
        <w:autoSpaceDN w:val="0"/>
        <w:adjustRightInd w:val="0"/>
      </w:pPr>
      <w:r>
        <w:t>Ogólne wymagania dotyczące Robót podano w SST D-M.00.00.00 „Wymagania ogólne” pkt. 1.5.</w:t>
      </w:r>
    </w:p>
    <w:p w:rsidR="00ED07A5" w:rsidRDefault="00ED07A5" w:rsidP="00ED07A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2. Materiały</w:t>
      </w:r>
    </w:p>
    <w:p w:rsidR="00ED07A5" w:rsidRDefault="00ED07A5" w:rsidP="00ED07A5">
      <w:pPr>
        <w:autoSpaceDE w:val="0"/>
        <w:autoSpaceDN w:val="0"/>
        <w:adjustRightInd w:val="0"/>
      </w:pPr>
      <w:r>
        <w:t>Ogólne wymagania dotyczące materiałów, ich pozyskiwania i składowania podano w SST D-M.00.00.00.</w:t>
      </w:r>
    </w:p>
    <w:p w:rsidR="00ED07A5" w:rsidRDefault="00ED07A5" w:rsidP="00ED07A5">
      <w:pPr>
        <w:autoSpaceDE w:val="0"/>
        <w:autoSpaceDN w:val="0"/>
        <w:adjustRightInd w:val="0"/>
      </w:pPr>
      <w:r>
        <w:t>„Wymagania ogólne” pkt. 2.</w:t>
      </w:r>
    </w:p>
    <w:p w:rsidR="00ED07A5" w:rsidRDefault="00ED07A5" w:rsidP="00ED07A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2.1. Zaprawa cementowa</w:t>
      </w:r>
    </w:p>
    <w:p w:rsidR="00ED07A5" w:rsidRDefault="00ED07A5" w:rsidP="00ED07A5">
      <w:pPr>
        <w:autoSpaceDE w:val="0"/>
        <w:autoSpaceDN w:val="0"/>
        <w:adjustRightInd w:val="0"/>
      </w:pPr>
      <w:r>
        <w:t xml:space="preserve">Stosować zaprawę cementową z dodatkiem </w:t>
      </w:r>
      <w:proofErr w:type="spellStart"/>
      <w:r>
        <w:t>hydrobetu</w:t>
      </w:r>
      <w:proofErr w:type="spellEnd"/>
      <w:r>
        <w:t xml:space="preserve"> zgodną z wymaganiami PN–B14504 i PN–B-14501.</w:t>
      </w:r>
    </w:p>
    <w:p w:rsidR="00ED07A5" w:rsidRDefault="00ED07A5" w:rsidP="00ED07A5">
      <w:pPr>
        <w:autoSpaceDE w:val="0"/>
        <w:autoSpaceDN w:val="0"/>
        <w:adjustRightInd w:val="0"/>
      </w:pPr>
      <w:r>
        <w:lastRenderedPageBreak/>
        <w:t>Cement klasy 32,5 stosowany do betonu i zapraw wg PN–B-19701.</w:t>
      </w:r>
    </w:p>
    <w:p w:rsidR="00ED07A5" w:rsidRDefault="00ED07A5" w:rsidP="00ED07A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3. Sprzęt</w:t>
      </w:r>
    </w:p>
    <w:p w:rsidR="00ED07A5" w:rsidRDefault="00ED07A5" w:rsidP="00ED07A5">
      <w:pPr>
        <w:autoSpaceDE w:val="0"/>
        <w:autoSpaceDN w:val="0"/>
        <w:adjustRightInd w:val="0"/>
      </w:pPr>
      <w:r>
        <w:t>Ogólne wymagania dotyczące sprzętu podano w SST D-M.00.00.00. „Wymagania ogólne” pkt. 3.</w:t>
      </w:r>
    </w:p>
    <w:p w:rsidR="00ED07A5" w:rsidRDefault="00ED07A5" w:rsidP="00ED07A5">
      <w:pPr>
        <w:autoSpaceDE w:val="0"/>
        <w:autoSpaceDN w:val="0"/>
        <w:adjustRightInd w:val="0"/>
      </w:pPr>
      <w:r>
        <w:t>Roboty wykonuje się ręcznie przy pomocy drobnego sprzętu z zastosowaniem betoniarek do wytwarzania betonu.</w:t>
      </w:r>
    </w:p>
    <w:p w:rsidR="00ED07A5" w:rsidRDefault="00ED07A5" w:rsidP="00ED07A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4. Transport</w:t>
      </w:r>
    </w:p>
    <w:p w:rsidR="00ED07A5" w:rsidRDefault="00ED07A5" w:rsidP="00ED07A5">
      <w:pPr>
        <w:autoSpaceDE w:val="0"/>
        <w:autoSpaceDN w:val="0"/>
        <w:adjustRightInd w:val="0"/>
      </w:pPr>
      <w:r>
        <w:t>Ogólne wymagania dotyczące transportu podano w SST D-M.00.00.00. „Wymagania ogólne”</w:t>
      </w:r>
    </w:p>
    <w:p w:rsidR="00ED07A5" w:rsidRDefault="00ED07A5" w:rsidP="00ED07A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4.1. Transport materiałów</w:t>
      </w:r>
    </w:p>
    <w:p w:rsidR="00ED07A5" w:rsidRDefault="00ED07A5" w:rsidP="00ED07A5">
      <w:pPr>
        <w:autoSpaceDE w:val="0"/>
        <w:autoSpaceDN w:val="0"/>
        <w:adjustRightInd w:val="0"/>
      </w:pPr>
      <w:r>
        <w:t>Transport cementu powinien być zgodny z normą BN-88/6731-08</w:t>
      </w:r>
    </w:p>
    <w:p w:rsidR="00ED07A5" w:rsidRDefault="00ED07A5" w:rsidP="00ED07A5">
      <w:pPr>
        <w:autoSpaceDE w:val="0"/>
        <w:autoSpaceDN w:val="0"/>
        <w:adjustRightInd w:val="0"/>
      </w:pPr>
      <w:r>
        <w:t>Transport kruszywa może odbywać się dowolnymi środkami transportu.</w:t>
      </w:r>
    </w:p>
    <w:p w:rsidR="00ED07A5" w:rsidRDefault="00ED07A5" w:rsidP="00ED07A5">
      <w:pPr>
        <w:autoSpaceDE w:val="0"/>
        <w:autoSpaceDN w:val="0"/>
        <w:adjustRightInd w:val="0"/>
      </w:pPr>
      <w:r>
        <w:t>Transport wody beczkami lub cysternami.</w:t>
      </w:r>
    </w:p>
    <w:p w:rsidR="00ED07A5" w:rsidRDefault="00ED07A5" w:rsidP="00ED07A5">
      <w:pPr>
        <w:autoSpaceDE w:val="0"/>
        <w:autoSpaceDN w:val="0"/>
        <w:adjustRightInd w:val="0"/>
      </w:pPr>
      <w:r>
        <w:t>Transport gotowych elementów zgodnie z zaleceniami producenta.</w:t>
      </w:r>
    </w:p>
    <w:p w:rsidR="00ED07A5" w:rsidRDefault="00ED07A5" w:rsidP="00ED07A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5. Wykonanie Robót</w:t>
      </w:r>
    </w:p>
    <w:p w:rsidR="00ED07A5" w:rsidRDefault="00ED07A5" w:rsidP="00ED07A5">
      <w:pPr>
        <w:autoSpaceDE w:val="0"/>
        <w:autoSpaceDN w:val="0"/>
        <w:adjustRightInd w:val="0"/>
      </w:pPr>
      <w:r>
        <w:t>Ogólne zasady wykonywania Robót podano w SST D-M.00.00.00 „Wymagania ogólne” pkt. 5.</w:t>
      </w:r>
    </w:p>
    <w:p w:rsidR="00ED07A5" w:rsidRDefault="00ED07A5" w:rsidP="00ED07A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6. Kontrola jakości Robót</w:t>
      </w:r>
    </w:p>
    <w:p w:rsidR="00ED07A5" w:rsidRDefault="00ED07A5" w:rsidP="00ED07A5">
      <w:pPr>
        <w:autoSpaceDE w:val="0"/>
        <w:autoSpaceDN w:val="0"/>
        <w:adjustRightInd w:val="0"/>
      </w:pPr>
      <w:r>
        <w:t>Ogólne zasady kontroli jakości Robót podano w SST D-M.00.00.00 „Wymagania ogólne” pkt. 6.</w:t>
      </w:r>
    </w:p>
    <w:p w:rsidR="00ED07A5" w:rsidRDefault="00ED07A5" w:rsidP="00ED07A5">
      <w:pPr>
        <w:autoSpaceDE w:val="0"/>
        <w:autoSpaceDN w:val="0"/>
        <w:adjustRightInd w:val="0"/>
      </w:pPr>
      <w:r>
        <w:t>Przed przystąpieniem do robót Wykonawca powinien wykonać badania materiałów do betonu i zapraw i</w:t>
      </w:r>
    </w:p>
    <w:p w:rsidR="00ED07A5" w:rsidRDefault="00ED07A5" w:rsidP="00ED07A5">
      <w:pPr>
        <w:autoSpaceDE w:val="0"/>
        <w:autoSpaceDN w:val="0"/>
        <w:adjustRightInd w:val="0"/>
      </w:pPr>
      <w:r>
        <w:t>ustalić recepturę. Wykonawca jest zobowiązany do stałej i systematycznej kontroli.</w:t>
      </w:r>
    </w:p>
    <w:p w:rsidR="00ED07A5" w:rsidRDefault="00ED07A5" w:rsidP="00ED07A5">
      <w:pPr>
        <w:autoSpaceDE w:val="0"/>
        <w:autoSpaceDN w:val="0"/>
        <w:adjustRightInd w:val="0"/>
      </w:pPr>
      <w:r>
        <w:t>W szczególności kontrola powinna obejmować :</w:t>
      </w:r>
    </w:p>
    <w:p w:rsidR="00ED07A5" w:rsidRDefault="00ED07A5" w:rsidP="00ED07A5">
      <w:pPr>
        <w:autoSpaceDE w:val="0"/>
        <w:autoSpaceDN w:val="0"/>
        <w:adjustRightInd w:val="0"/>
      </w:pPr>
      <w:r>
        <w:rPr>
          <w:rFonts w:ascii="OpenSymbol" w:hAnsi="OpenSymbol" w:cs="OpenSymbol"/>
        </w:rPr>
        <w:t xml:space="preserve">- </w:t>
      </w:r>
      <w:r>
        <w:t>sprawdzenie rzędnych studzienek z dokładnością do 4mm.</w:t>
      </w:r>
    </w:p>
    <w:p w:rsidR="00ED07A5" w:rsidRDefault="00ED07A5" w:rsidP="00ED07A5">
      <w:pPr>
        <w:autoSpaceDE w:val="0"/>
        <w:autoSpaceDN w:val="0"/>
        <w:adjustRightInd w:val="0"/>
      </w:pPr>
      <w:r>
        <w:t>Dopuszczalne tolerancje i wymagania</w:t>
      </w:r>
    </w:p>
    <w:p w:rsidR="00ED07A5" w:rsidRDefault="00ED07A5" w:rsidP="00ED07A5">
      <w:pPr>
        <w:autoSpaceDE w:val="0"/>
        <w:autoSpaceDN w:val="0"/>
        <w:adjustRightInd w:val="0"/>
      </w:pPr>
      <w:r>
        <w:rPr>
          <w:rFonts w:ascii="OpenSymbol" w:hAnsi="OpenSymbol" w:cs="OpenSymbol"/>
        </w:rPr>
        <w:t xml:space="preserve">- </w:t>
      </w:r>
      <w:r>
        <w:t>odchylenie regulowanych urządzeń uzbrojenia podziemnego od powierzchni nawierzchni położonych</w:t>
      </w:r>
    </w:p>
    <w:p w:rsidR="00ED07A5" w:rsidRDefault="00ED07A5" w:rsidP="00ED07A5">
      <w:pPr>
        <w:autoSpaceDE w:val="0"/>
        <w:autoSpaceDN w:val="0"/>
        <w:adjustRightInd w:val="0"/>
      </w:pPr>
      <w:r>
        <w:t>obok nie powinno być większe od 4mm.</w:t>
      </w:r>
    </w:p>
    <w:p w:rsidR="00ED07A5" w:rsidRDefault="00ED07A5" w:rsidP="00ED07A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7. Obmiar Robót</w:t>
      </w:r>
    </w:p>
    <w:p w:rsidR="00ED07A5" w:rsidRDefault="00ED07A5" w:rsidP="00ED07A5">
      <w:pPr>
        <w:autoSpaceDE w:val="0"/>
        <w:autoSpaceDN w:val="0"/>
        <w:adjustRightInd w:val="0"/>
      </w:pPr>
      <w:r>
        <w:t>Jednostką obmiarową jest:</w:t>
      </w:r>
    </w:p>
    <w:p w:rsidR="00ED07A5" w:rsidRDefault="00ED07A5" w:rsidP="00ED07A5">
      <w:pPr>
        <w:autoSpaceDE w:val="0"/>
        <w:autoSpaceDN w:val="0"/>
        <w:adjustRightInd w:val="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1szt. (sztuka) regulowanej studni.</w:t>
      </w:r>
    </w:p>
    <w:p w:rsidR="00ED07A5" w:rsidRDefault="00ED07A5" w:rsidP="00ED07A5">
      <w:pPr>
        <w:autoSpaceDE w:val="0"/>
        <w:autoSpaceDN w:val="0"/>
        <w:adjustRightInd w:val="0"/>
      </w:pPr>
      <w:r>
        <w:rPr>
          <w:rFonts w:ascii="Symbol" w:hAnsi="Symbol" w:cs="Symbol"/>
        </w:rPr>
        <w:lastRenderedPageBreak/>
        <w:t></w:t>
      </w:r>
      <w:r>
        <w:rPr>
          <w:rFonts w:ascii="Symbol" w:hAnsi="Symbol" w:cs="Symbol"/>
        </w:rPr>
        <w:t></w:t>
      </w:r>
      <w:r>
        <w:t>1m2 (metr kwadratowy) naprawionej podmurówki</w:t>
      </w:r>
    </w:p>
    <w:p w:rsidR="00ED07A5" w:rsidRDefault="00ED07A5" w:rsidP="00ED07A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8. Odbiór Robót</w:t>
      </w:r>
    </w:p>
    <w:p w:rsidR="00ED07A5" w:rsidRDefault="00ED07A5" w:rsidP="00ED07A5">
      <w:pPr>
        <w:autoSpaceDE w:val="0"/>
        <w:autoSpaceDN w:val="0"/>
        <w:adjustRightInd w:val="0"/>
      </w:pPr>
      <w:r>
        <w:t>Ogólne zasady odbioru Robót podano w SST D-M.00.00.00. „Wymagania ogólne” pkt. 8.</w:t>
      </w:r>
    </w:p>
    <w:p w:rsidR="00ED07A5" w:rsidRDefault="00ED07A5" w:rsidP="00ED07A5">
      <w:pPr>
        <w:autoSpaceDE w:val="0"/>
        <w:autoSpaceDN w:val="0"/>
        <w:adjustRightInd w:val="0"/>
      </w:pPr>
      <w:r>
        <w:t>Roboty uznaje się za wykonane zgodnie z Dokumentacją Projektową i SST, jeżeli wszystkie badania i pomiary z</w:t>
      </w:r>
    </w:p>
    <w:p w:rsidR="00ED07A5" w:rsidRDefault="00ED07A5" w:rsidP="00ED07A5">
      <w:pPr>
        <w:autoSpaceDE w:val="0"/>
        <w:autoSpaceDN w:val="0"/>
        <w:adjustRightInd w:val="0"/>
      </w:pPr>
      <w:r>
        <w:t>zachowaniem tolerancji wg pkt. 6 dały wyniki pozytywne.</w:t>
      </w:r>
    </w:p>
    <w:p w:rsidR="00ED07A5" w:rsidRDefault="00ED07A5" w:rsidP="00ED07A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9. Podstawa płatności</w:t>
      </w:r>
    </w:p>
    <w:p w:rsidR="00ED07A5" w:rsidRDefault="00ED07A5" w:rsidP="00ED07A5">
      <w:pPr>
        <w:autoSpaceDE w:val="0"/>
        <w:autoSpaceDN w:val="0"/>
        <w:adjustRightInd w:val="0"/>
      </w:pPr>
      <w:r>
        <w:t>Cena jednostkowa wykonanej regulacji studni obejmuje:</w:t>
      </w:r>
    </w:p>
    <w:p w:rsidR="00ED07A5" w:rsidRDefault="00ED07A5" w:rsidP="00ED07A5">
      <w:pPr>
        <w:autoSpaceDE w:val="0"/>
        <w:autoSpaceDN w:val="0"/>
        <w:adjustRightInd w:val="0"/>
      </w:pPr>
      <w:r>
        <w:rPr>
          <w:rFonts w:ascii="OpenSymbol" w:hAnsi="OpenSymbol" w:cs="OpenSymbol"/>
        </w:rPr>
        <w:t xml:space="preserve">- </w:t>
      </w:r>
      <w:r>
        <w:t>prace pomiarowe i roboty przygotowawcze,</w:t>
      </w:r>
    </w:p>
    <w:p w:rsidR="00ED07A5" w:rsidRDefault="00ED07A5" w:rsidP="00ED07A5">
      <w:pPr>
        <w:autoSpaceDE w:val="0"/>
        <w:autoSpaceDN w:val="0"/>
        <w:adjustRightInd w:val="0"/>
      </w:pPr>
      <w:r>
        <w:rPr>
          <w:rFonts w:ascii="OpenSymbol" w:hAnsi="OpenSymbol" w:cs="OpenSymbol"/>
        </w:rPr>
        <w:t xml:space="preserve">- </w:t>
      </w:r>
      <w:r>
        <w:t>zakup, dostarczenie i składowanie materiałów,</w:t>
      </w:r>
    </w:p>
    <w:p w:rsidR="00ED07A5" w:rsidRDefault="00ED07A5" w:rsidP="00ED07A5">
      <w:pPr>
        <w:autoSpaceDE w:val="0"/>
        <w:autoSpaceDN w:val="0"/>
        <w:adjustRightInd w:val="0"/>
      </w:pPr>
      <w:r>
        <w:rPr>
          <w:rFonts w:ascii="OpenSymbol" w:hAnsi="OpenSymbol" w:cs="OpenSymbol"/>
        </w:rPr>
        <w:t xml:space="preserve">- </w:t>
      </w:r>
      <w:r>
        <w:t>oznakowanie robót,</w:t>
      </w:r>
    </w:p>
    <w:p w:rsidR="00ED07A5" w:rsidRDefault="00ED07A5" w:rsidP="00ED07A5">
      <w:pPr>
        <w:autoSpaceDE w:val="0"/>
        <w:autoSpaceDN w:val="0"/>
        <w:adjustRightInd w:val="0"/>
      </w:pPr>
      <w:r>
        <w:rPr>
          <w:rFonts w:ascii="OpenSymbol" w:hAnsi="OpenSymbol" w:cs="OpenSymbol"/>
        </w:rPr>
        <w:t xml:space="preserve">- </w:t>
      </w:r>
      <w:r>
        <w:t>rozbiórkę (odkucie) nawierzchni wokół istniejących urządzeń uzbrojenia podziemnego,</w:t>
      </w:r>
    </w:p>
    <w:p w:rsidR="00ED07A5" w:rsidRDefault="00ED07A5" w:rsidP="00ED07A5">
      <w:pPr>
        <w:autoSpaceDE w:val="0"/>
        <w:autoSpaceDN w:val="0"/>
        <w:adjustRightInd w:val="0"/>
      </w:pPr>
      <w:r>
        <w:rPr>
          <w:rFonts w:ascii="OpenSymbol" w:hAnsi="OpenSymbol" w:cs="OpenSymbol"/>
        </w:rPr>
        <w:t xml:space="preserve">- </w:t>
      </w:r>
      <w:r>
        <w:t>odwiezienie gruzu,</w:t>
      </w:r>
    </w:p>
    <w:p w:rsidR="00ED07A5" w:rsidRDefault="00ED07A5" w:rsidP="00ED07A5">
      <w:pPr>
        <w:autoSpaceDE w:val="0"/>
        <w:autoSpaceDN w:val="0"/>
        <w:adjustRightInd w:val="0"/>
      </w:pPr>
      <w:r>
        <w:rPr>
          <w:rFonts w:ascii="OpenSymbol" w:hAnsi="OpenSymbol" w:cs="OpenSymbol"/>
        </w:rPr>
        <w:t xml:space="preserve">- </w:t>
      </w:r>
      <w:r>
        <w:t>przygotowanie mieszanki betonowej</w:t>
      </w:r>
    </w:p>
    <w:p w:rsidR="00ED07A5" w:rsidRDefault="00ED07A5" w:rsidP="00ED07A5">
      <w:pPr>
        <w:autoSpaceDE w:val="0"/>
        <w:autoSpaceDN w:val="0"/>
        <w:adjustRightInd w:val="0"/>
      </w:pPr>
      <w:r>
        <w:rPr>
          <w:rFonts w:ascii="OpenSymbol" w:hAnsi="OpenSymbol" w:cs="OpenSymbol"/>
        </w:rPr>
        <w:t xml:space="preserve">- </w:t>
      </w:r>
      <w:r>
        <w:t>regulację wysokościową włazów urządzeń uzbrojenia podziemnego,</w:t>
      </w:r>
    </w:p>
    <w:p w:rsidR="00ED07A5" w:rsidRDefault="00ED07A5" w:rsidP="00ED07A5">
      <w:pPr>
        <w:autoSpaceDE w:val="0"/>
        <w:autoSpaceDN w:val="0"/>
        <w:adjustRightInd w:val="0"/>
      </w:pPr>
      <w:r>
        <w:rPr>
          <w:rFonts w:ascii="OpenSymbol" w:hAnsi="OpenSymbol" w:cs="OpenSymbol"/>
        </w:rPr>
        <w:t xml:space="preserve">- </w:t>
      </w:r>
      <w:r>
        <w:t>pielęgnację,</w:t>
      </w:r>
    </w:p>
    <w:p w:rsidR="00ED07A5" w:rsidRDefault="00ED07A5" w:rsidP="00ED07A5">
      <w:pPr>
        <w:autoSpaceDE w:val="0"/>
        <w:autoSpaceDN w:val="0"/>
        <w:adjustRightInd w:val="0"/>
      </w:pPr>
      <w:r>
        <w:rPr>
          <w:rFonts w:ascii="OpenSymbol" w:hAnsi="OpenSymbol" w:cs="OpenSymbol"/>
        </w:rPr>
        <w:t xml:space="preserve">- </w:t>
      </w:r>
      <w:r>
        <w:t>pomiary i badania.</w:t>
      </w:r>
    </w:p>
    <w:p w:rsidR="00ED07A5" w:rsidRDefault="00ED07A5" w:rsidP="00ED07A5">
      <w:pPr>
        <w:autoSpaceDE w:val="0"/>
        <w:autoSpaceDN w:val="0"/>
        <w:adjustRightInd w:val="0"/>
      </w:pPr>
      <w:r>
        <w:t>Cena jednostkowa wykonanej naprawy podmurówki obejmuje:</w:t>
      </w:r>
    </w:p>
    <w:p w:rsidR="00ED07A5" w:rsidRDefault="00ED07A5" w:rsidP="00ED07A5">
      <w:pPr>
        <w:autoSpaceDE w:val="0"/>
        <w:autoSpaceDN w:val="0"/>
        <w:adjustRightInd w:val="0"/>
      </w:pPr>
      <w:r>
        <w:rPr>
          <w:rFonts w:ascii="OpenSymbol" w:hAnsi="OpenSymbol" w:cs="OpenSymbol"/>
        </w:rPr>
        <w:t xml:space="preserve">- </w:t>
      </w:r>
      <w:r>
        <w:t>prace pomiarowe i roboty przygotowawcze,</w:t>
      </w:r>
    </w:p>
    <w:p w:rsidR="00ED07A5" w:rsidRDefault="00ED07A5" w:rsidP="00ED07A5">
      <w:pPr>
        <w:autoSpaceDE w:val="0"/>
        <w:autoSpaceDN w:val="0"/>
        <w:adjustRightInd w:val="0"/>
      </w:pPr>
      <w:r>
        <w:rPr>
          <w:rFonts w:ascii="OpenSymbol" w:hAnsi="OpenSymbol" w:cs="OpenSymbol"/>
        </w:rPr>
        <w:t xml:space="preserve">- </w:t>
      </w:r>
      <w:r>
        <w:t>zakup, dostarczenie i składowanie materiałów,</w:t>
      </w:r>
    </w:p>
    <w:p w:rsidR="00ED07A5" w:rsidRDefault="00ED07A5" w:rsidP="00ED07A5">
      <w:pPr>
        <w:autoSpaceDE w:val="0"/>
        <w:autoSpaceDN w:val="0"/>
        <w:adjustRightInd w:val="0"/>
      </w:pPr>
      <w:r>
        <w:rPr>
          <w:rFonts w:ascii="OpenSymbol" w:hAnsi="OpenSymbol" w:cs="OpenSymbol"/>
        </w:rPr>
        <w:t xml:space="preserve">- </w:t>
      </w:r>
      <w:r>
        <w:t>przygotowanie zaprawy cementowej,</w:t>
      </w:r>
    </w:p>
    <w:p w:rsidR="00ED07A5" w:rsidRDefault="00ED07A5" w:rsidP="00ED07A5">
      <w:pPr>
        <w:autoSpaceDE w:val="0"/>
        <w:autoSpaceDN w:val="0"/>
        <w:adjustRightInd w:val="0"/>
      </w:pPr>
      <w:r>
        <w:rPr>
          <w:rFonts w:ascii="OpenSymbol" w:hAnsi="OpenSymbol" w:cs="OpenSymbol"/>
        </w:rPr>
        <w:t xml:space="preserve">- </w:t>
      </w:r>
      <w:r>
        <w:t>uzupełnienie wyrw i szczelin w podmurówce ogrodzeń,</w:t>
      </w:r>
    </w:p>
    <w:p w:rsidR="00ED07A5" w:rsidRDefault="00ED07A5" w:rsidP="00ED07A5">
      <w:pPr>
        <w:autoSpaceDE w:val="0"/>
        <w:autoSpaceDN w:val="0"/>
        <w:adjustRightInd w:val="0"/>
      </w:pPr>
      <w:r>
        <w:rPr>
          <w:rFonts w:ascii="OpenSymbol" w:hAnsi="OpenSymbol" w:cs="OpenSymbol"/>
        </w:rPr>
        <w:t xml:space="preserve">- </w:t>
      </w:r>
      <w:r>
        <w:t>otynkowanie zaprawą cementową podmurówki,</w:t>
      </w:r>
    </w:p>
    <w:p w:rsidR="00ED07A5" w:rsidRDefault="00ED07A5" w:rsidP="00ED07A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10. Przepisy związane</w:t>
      </w:r>
    </w:p>
    <w:p w:rsidR="00ED07A5" w:rsidRDefault="00ED07A5" w:rsidP="00ED07A5">
      <w:pPr>
        <w:autoSpaceDE w:val="0"/>
        <w:autoSpaceDN w:val="0"/>
        <w:adjustRightInd w:val="0"/>
      </w:pPr>
      <w:r>
        <w:t>1. PN-B-12037 Cegła pełna wypalana z gliny – kanalizacyjna.</w:t>
      </w:r>
    </w:p>
    <w:p w:rsidR="00ED07A5" w:rsidRDefault="00ED07A5" w:rsidP="00ED07A5">
      <w:pPr>
        <w:autoSpaceDE w:val="0"/>
        <w:autoSpaceDN w:val="0"/>
        <w:adjustRightInd w:val="0"/>
      </w:pPr>
      <w:r>
        <w:t>2. PN-B-14501 Zaprawy budowlane zwykłe.</w:t>
      </w:r>
    </w:p>
    <w:p w:rsidR="00ED07A5" w:rsidRDefault="00ED07A5" w:rsidP="00ED07A5">
      <w:pPr>
        <w:autoSpaceDE w:val="0"/>
        <w:autoSpaceDN w:val="0"/>
        <w:adjustRightInd w:val="0"/>
      </w:pPr>
      <w:r>
        <w:t>3. PN-B-32250 Materiały budowlane. woda do betonów i zapraw.</w:t>
      </w:r>
    </w:p>
    <w:p w:rsidR="00ED07A5" w:rsidRDefault="00ED07A5" w:rsidP="00ED07A5">
      <w:pPr>
        <w:autoSpaceDE w:val="0"/>
        <w:autoSpaceDN w:val="0"/>
        <w:adjustRightInd w:val="0"/>
      </w:pPr>
      <w:r>
        <w:lastRenderedPageBreak/>
        <w:t>4. BN-88/6731-08 Cement. Transport i przechowywanie.</w:t>
      </w:r>
    </w:p>
    <w:p w:rsidR="00ED07A5" w:rsidRDefault="00ED07A5" w:rsidP="00ED07A5">
      <w:pPr>
        <w:autoSpaceDE w:val="0"/>
        <w:autoSpaceDN w:val="0"/>
        <w:adjustRightInd w:val="0"/>
      </w:pPr>
      <w:r>
        <w:t>5. BN-62/6738-03,04,07 Beton hydrotechniczny</w:t>
      </w:r>
    </w:p>
    <w:p w:rsidR="00ED07A5" w:rsidRDefault="00ED07A5" w:rsidP="00ED07A5">
      <w:pPr>
        <w:autoSpaceDE w:val="0"/>
        <w:autoSpaceDN w:val="0"/>
        <w:adjustRightInd w:val="0"/>
      </w:pPr>
      <w:r>
        <w:t>6. BN-78/6741-07 Wyroby przemysłu ceramiki budowlanej. Przechowywanie i transport.</w:t>
      </w:r>
    </w:p>
    <w:p w:rsidR="00ED07A5" w:rsidRDefault="00ED07A5" w:rsidP="00ED07A5">
      <w:pPr>
        <w:autoSpaceDE w:val="0"/>
        <w:autoSpaceDN w:val="0"/>
        <w:adjustRightInd w:val="0"/>
      </w:pPr>
      <w:r>
        <w:t>7. PN-B-11113 Kruszywa mineralne. Kruszywa naturalne do nawierzchni drogowych. Piasek</w:t>
      </w:r>
    </w:p>
    <w:p w:rsidR="00ED07A5" w:rsidRDefault="00ED07A5" w:rsidP="00ED07A5">
      <w:pPr>
        <w:autoSpaceDE w:val="0"/>
        <w:autoSpaceDN w:val="0"/>
        <w:adjustRightInd w:val="0"/>
      </w:pPr>
      <w:r>
        <w:t>8. PN-B-06250 Beton zwykły.</w:t>
      </w:r>
    </w:p>
    <w:p w:rsidR="00ED07A5" w:rsidRDefault="00ED07A5" w:rsidP="00ED07A5">
      <w:pPr>
        <w:autoSpaceDE w:val="0"/>
        <w:autoSpaceDN w:val="0"/>
        <w:adjustRightInd w:val="0"/>
      </w:pPr>
      <w:r>
        <w:t>9. PN-B-06251 Roboty betonowe i żelbetonowe Wymagania techniczne.</w:t>
      </w:r>
    </w:p>
    <w:p w:rsidR="00ED07A5" w:rsidRDefault="00ED07A5" w:rsidP="00ED07A5">
      <w:r>
        <w:t>10. PN-B-19401 Cement. Cement powszechnego użytku. Skład, wymagania i ocena zgodności</w:t>
      </w:r>
    </w:p>
    <w:p w:rsidR="00ED07A5" w:rsidRPr="006C25E2" w:rsidRDefault="00ED07A5" w:rsidP="00ED07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0"/>
          <w:lang w:eastAsia="pl-PL"/>
        </w:rPr>
      </w:pPr>
    </w:p>
    <w:p w:rsidR="00ED07A5" w:rsidRDefault="00ED07A5" w:rsidP="00ED07A5"/>
    <w:p w:rsidR="00ED07A5" w:rsidRDefault="00ED07A5" w:rsidP="00ED07A5"/>
    <w:p w:rsidR="00571B11" w:rsidRDefault="00571B11"/>
    <w:sectPr w:rsidR="00571B11" w:rsidSect="000F0F1E">
      <w:footerReference w:type="even" r:id="rId6"/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064" w:rsidRDefault="00990064" w:rsidP="00EC69BC">
      <w:pPr>
        <w:spacing w:after="0" w:line="240" w:lineRule="auto"/>
      </w:pPr>
      <w:r>
        <w:separator/>
      </w:r>
    </w:p>
  </w:endnote>
  <w:endnote w:type="continuationSeparator" w:id="0">
    <w:p w:rsidR="00990064" w:rsidRDefault="00990064" w:rsidP="00EC6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BF5" w:rsidRDefault="00990064">
    <w:pPr>
      <w:pStyle w:val="Stopka"/>
      <w:jc w:val="center"/>
    </w:pPr>
    <w:r>
      <w:rPr>
        <w:lang w:eastAsia="en-US"/>
      </w:rPr>
    </w: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1026" type="#_x0000_t110" style="width:468pt;height:3.55pt;flip:y;mso-width-percent:1000;mso-position-horizontal-relative:char;mso-position-vertical-relative:line;mso-width-percent:1000;mso-width-relative:margin" fillcolor="black" stroked="f">
          <v:fill r:id="rId1" o:title="Light horizontal" type="pattern"/>
          <w10:wrap type="none" anchorx="margin" anchory="page"/>
          <w10:anchorlock/>
        </v:shape>
      </w:pict>
    </w:r>
  </w:p>
  <w:p w:rsidR="00404BF5" w:rsidRDefault="00990064">
    <w:pPr>
      <w:pStyle w:val="Stopka"/>
      <w:jc w:val="center"/>
    </w:pPr>
    <w:r>
      <w:fldChar w:fldCharType="begin"/>
    </w:r>
    <w:r>
      <w:instrText xml:space="preserve"> PAGE    \* MERGEFORMAT </w:instrText>
    </w:r>
    <w:r>
      <w:fldChar w:fldCharType="separate"/>
    </w:r>
    <w:r>
      <w:rPr>
        <w:noProof/>
      </w:rPr>
      <w:t>332</w:t>
    </w:r>
    <w:r>
      <w:fldChar w:fldCharType="end"/>
    </w:r>
  </w:p>
  <w:p w:rsidR="00404BF5" w:rsidRDefault="0099006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9BC" w:rsidRPr="00EC69BC" w:rsidRDefault="00EC69BC" w:rsidP="00EC69BC">
    <w:pPr>
      <w:pStyle w:val="Stopka"/>
      <w:pBdr>
        <w:top w:val="thinThickSmallGap" w:sz="24" w:space="1" w:color="622423" w:themeColor="accent2" w:themeShade="7F"/>
      </w:pBdr>
      <w:jc w:val="left"/>
      <w:rPr>
        <w:rFonts w:asciiTheme="majorHAnsi" w:hAnsiTheme="majorHAnsi"/>
      </w:rPr>
    </w:pPr>
    <w:r w:rsidRPr="00EC69BC">
      <w:rPr>
        <w:rFonts w:asciiTheme="minorHAnsi" w:hAnsiTheme="minorHAnsi"/>
        <w:i/>
      </w:rPr>
      <w:t xml:space="preserve">Przebudowa ul. Powstańców Warszawy w Skarżysku – Kamiennej na odcinku od ul. Armii Krajowej </w:t>
    </w:r>
    <w:r>
      <w:rPr>
        <w:rFonts w:asciiTheme="minorHAnsi" w:hAnsiTheme="minorHAnsi"/>
        <w:i/>
      </w:rPr>
      <w:br/>
    </w:r>
    <w:r w:rsidRPr="00EC69BC">
      <w:rPr>
        <w:rFonts w:asciiTheme="minorHAnsi" w:hAnsiTheme="minorHAnsi"/>
        <w:i/>
      </w:rPr>
      <w:t>do ul. Kochanowskiego</w:t>
    </w:r>
    <w:r w:rsidRPr="00EC69BC">
      <w:rPr>
        <w:rFonts w:asciiTheme="majorHAnsi" w:hAnsiTheme="majorHAnsi"/>
      </w:rPr>
      <w:ptab w:relativeTo="margin" w:alignment="right" w:leader="none"/>
    </w:r>
    <w:r w:rsidRPr="00EC69BC">
      <w:rPr>
        <w:rFonts w:asciiTheme="majorHAnsi" w:hAnsiTheme="majorHAnsi"/>
      </w:rPr>
      <w:t xml:space="preserve"> </w:t>
    </w:r>
    <w:fldSimple w:instr=" PAGE   \* MERGEFORMAT ">
      <w:r w:rsidRPr="00EC69BC">
        <w:rPr>
          <w:rFonts w:asciiTheme="majorHAnsi" w:hAnsiTheme="majorHAnsi"/>
          <w:noProof/>
        </w:rPr>
        <w:t>3</w:t>
      </w:r>
    </w:fldSimple>
  </w:p>
  <w:p w:rsidR="00404BF5" w:rsidRDefault="00990064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064" w:rsidRDefault="00990064" w:rsidP="00EC69BC">
      <w:pPr>
        <w:spacing w:after="0" w:line="240" w:lineRule="auto"/>
      </w:pPr>
      <w:r>
        <w:separator/>
      </w:r>
    </w:p>
  </w:footnote>
  <w:footnote w:type="continuationSeparator" w:id="0">
    <w:p w:rsidR="00990064" w:rsidRDefault="00990064" w:rsidP="00EC69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ED07A5"/>
    <w:rsid w:val="0020511F"/>
    <w:rsid w:val="00571B11"/>
    <w:rsid w:val="00990064"/>
    <w:rsid w:val="00EC69BC"/>
    <w:rsid w:val="00ED0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2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07A5"/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ine1">
    <w:name w:val="Mine 1"/>
    <w:basedOn w:val="Normalny"/>
    <w:rsid w:val="00ED07A5"/>
    <w:pPr>
      <w:spacing w:after="114" w:line="120" w:lineRule="atLeast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D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D07A5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C6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C69BC"/>
    <w:rPr>
      <w:rFonts w:ascii="Calibri" w:eastAsia="Calibri" w:hAnsi="Calibri" w:cs="Times New Roman"/>
      <w:kern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6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9BC"/>
    <w:rPr>
      <w:rFonts w:ascii="Tahoma" w:eastAsia="Calibri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657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</dc:creator>
  <cp:keywords/>
  <dc:description/>
  <cp:lastModifiedBy>Zbigniew</cp:lastModifiedBy>
  <cp:revision>2</cp:revision>
  <dcterms:created xsi:type="dcterms:W3CDTF">2011-08-17T12:23:00Z</dcterms:created>
  <dcterms:modified xsi:type="dcterms:W3CDTF">2011-08-17T12:38:00Z</dcterms:modified>
</cp:coreProperties>
</file>